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F4" w:rsidRDefault="00221FF4" w:rsidP="004F1C7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61. став 7</w:t>
      </w:r>
      <w:r w:rsidRPr="008E16AD">
        <w:rPr>
          <w:rFonts w:ascii="Times New Roman" w:hAnsi="Times New Roman" w:cs="Times New Roman"/>
          <w:sz w:val="24"/>
          <w:szCs w:val="24"/>
        </w:rPr>
        <w:t>. Закона о становању и одржавању стамбених зграда („Служб</w:t>
      </w:r>
      <w:r w:rsidR="007C0746">
        <w:rPr>
          <w:rFonts w:ascii="Times New Roman" w:hAnsi="Times New Roman" w:cs="Times New Roman"/>
          <w:sz w:val="24"/>
          <w:szCs w:val="24"/>
        </w:rPr>
        <w:t>ени гласник РС“, број 104/16),</w:t>
      </w:r>
      <w:r w:rsidRPr="008E16AD">
        <w:rPr>
          <w:rFonts w:ascii="Times New Roman" w:hAnsi="Times New Roman" w:cs="Times New Roman"/>
          <w:sz w:val="24"/>
          <w:szCs w:val="24"/>
        </w:rPr>
        <w:t xml:space="preserve"> члана 1. </w:t>
      </w:r>
      <w:r w:rsidR="007C0746">
        <w:rPr>
          <w:rFonts w:ascii="Times New Roman" w:hAnsi="Times New Roman" w:cs="Times New Roman"/>
          <w:sz w:val="24"/>
          <w:szCs w:val="24"/>
        </w:rPr>
        <w:t xml:space="preserve">став 2. </w:t>
      </w:r>
      <w:r w:rsidRPr="008E16AD">
        <w:rPr>
          <w:rFonts w:ascii="Times New Roman" w:hAnsi="Times New Roman" w:cs="Times New Roman"/>
          <w:sz w:val="24"/>
          <w:szCs w:val="24"/>
        </w:rPr>
        <w:t>Правилника о критеријумима за утврђивање минималног износа који одређује јединица локалне самоуправе за плаћање трошкова инвестиционог одржавања заједничких делова</w:t>
      </w:r>
      <w:r w:rsidR="003A742C">
        <w:rPr>
          <w:rFonts w:ascii="Times New Roman" w:hAnsi="Times New Roman" w:cs="Times New Roman"/>
          <w:sz w:val="24"/>
          <w:szCs w:val="24"/>
          <w:lang w:val="sr-Cyrl-RS"/>
        </w:rPr>
        <w:t xml:space="preserve"> зграде</w:t>
      </w:r>
      <w:r w:rsidRPr="008E16AD">
        <w:rPr>
          <w:rFonts w:ascii="Times New Roman" w:hAnsi="Times New Roman" w:cs="Times New Roman"/>
          <w:sz w:val="24"/>
          <w:szCs w:val="24"/>
        </w:rPr>
        <w:t xml:space="preserve"> („Службени гласник РС“, број 101/17),</w:t>
      </w:r>
      <w:r w:rsidR="007C0746">
        <w:rPr>
          <w:rFonts w:ascii="Times New Roman" w:hAnsi="Times New Roman" w:cs="Times New Roman"/>
          <w:sz w:val="24"/>
          <w:szCs w:val="24"/>
        </w:rPr>
        <w:t xml:space="preserve">  члана 20. став 1. тачка 6. и члана  32. став. 1 тачка 6. Закон о локалној самоуправи („Службени гласник РС“, број  129/07, 83/14 – др. закон и 101/16 – др. закон), </w:t>
      </w:r>
      <w:r w:rsidRPr="008E16AD">
        <w:rPr>
          <w:rFonts w:ascii="Times New Roman" w:hAnsi="Times New Roman" w:cs="Times New Roman"/>
          <w:sz w:val="24"/>
          <w:szCs w:val="24"/>
        </w:rPr>
        <w:t xml:space="preserve"> члана 15. став 1. тачка 6. и члана 37. став 1. тачка 6. Статута општине Инђија – пречишћен текст  </w:t>
      </w:r>
      <w:r>
        <w:rPr>
          <w:rFonts w:ascii="Times New Roman" w:hAnsi="Times New Roman" w:cs="Times New Roman"/>
          <w:sz w:val="24"/>
          <w:szCs w:val="24"/>
        </w:rPr>
        <w:t>(„Службени лист општине Инђија“, број 9/13),</w:t>
      </w:r>
    </w:p>
    <w:p w:rsidR="00221FF4" w:rsidRDefault="00221FF4" w:rsidP="00221F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Скупштина општине </w:t>
      </w:r>
      <w:r w:rsidR="000E7EF9">
        <w:rPr>
          <w:rFonts w:ascii="Times New Roman" w:hAnsi="Times New Roman" w:cs="Times New Roman"/>
          <w:sz w:val="24"/>
          <w:szCs w:val="24"/>
        </w:rPr>
        <w:t xml:space="preserve">Инђија на седници одржаној </w:t>
      </w:r>
      <w:r w:rsidR="00D005E0">
        <w:rPr>
          <w:rFonts w:ascii="Times New Roman" w:hAnsi="Times New Roman" w:cs="Times New Roman"/>
          <w:sz w:val="24"/>
          <w:szCs w:val="24"/>
        </w:rPr>
        <w:t xml:space="preserve">29. </w:t>
      </w:r>
      <w:r w:rsidR="000E7EF9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>
        <w:rPr>
          <w:rFonts w:ascii="Times New Roman" w:hAnsi="Times New Roman" w:cs="Times New Roman"/>
          <w:sz w:val="24"/>
          <w:szCs w:val="24"/>
        </w:rPr>
        <w:t xml:space="preserve"> 2017. године, донела је </w:t>
      </w:r>
    </w:p>
    <w:p w:rsidR="00221FF4" w:rsidRDefault="00221FF4" w:rsidP="00221F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1FF4" w:rsidRPr="00716A84" w:rsidRDefault="00221FF4" w:rsidP="00221F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8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221FF4" w:rsidRDefault="00221FF4" w:rsidP="00221F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84">
        <w:rPr>
          <w:rFonts w:ascii="Times New Roman" w:hAnsi="Times New Roman" w:cs="Times New Roman"/>
          <w:b/>
          <w:sz w:val="24"/>
          <w:szCs w:val="24"/>
        </w:rPr>
        <w:t xml:space="preserve">О УТВРЂИВАЊУ МИНИМАЛНЕ ВИСИНЕ  ИЗНОСА </w:t>
      </w:r>
    </w:p>
    <w:p w:rsidR="00221FF4" w:rsidRDefault="00221FF4" w:rsidP="00221F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84">
        <w:rPr>
          <w:rFonts w:ascii="Times New Roman" w:hAnsi="Times New Roman" w:cs="Times New Roman"/>
          <w:b/>
          <w:sz w:val="24"/>
          <w:szCs w:val="24"/>
        </w:rPr>
        <w:t>ИЗДВАЈАЊА НА ИМЕ ТРОШКОВА ИНВЕСТИЦИОНОГ</w:t>
      </w:r>
    </w:p>
    <w:p w:rsidR="00221FF4" w:rsidRPr="00716A84" w:rsidRDefault="00221FF4" w:rsidP="00221F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84">
        <w:rPr>
          <w:rFonts w:ascii="Times New Roman" w:hAnsi="Times New Roman" w:cs="Times New Roman"/>
          <w:b/>
          <w:sz w:val="24"/>
          <w:szCs w:val="24"/>
        </w:rPr>
        <w:t xml:space="preserve">ОДРЖАВАЊА ЗАЈЕДНИЧКИХ ДЕЛОВА ЗГРАДЕ </w:t>
      </w:r>
    </w:p>
    <w:p w:rsidR="00221FF4" w:rsidRDefault="00221FF4" w:rsidP="00221F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1FF4" w:rsidRPr="00716A84" w:rsidRDefault="00221FF4" w:rsidP="00221F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84">
        <w:rPr>
          <w:rFonts w:ascii="Times New Roman" w:hAnsi="Times New Roman" w:cs="Times New Roman"/>
          <w:b/>
          <w:sz w:val="24"/>
          <w:szCs w:val="24"/>
        </w:rPr>
        <w:t xml:space="preserve">Члан 1. </w:t>
      </w:r>
    </w:p>
    <w:p w:rsidR="00221FF4" w:rsidRDefault="00221FF4" w:rsidP="00221F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Овом одлуком утврђује се минимална висина износа издвајања на име трошкова инвестиционог одржавања заједничких делова зграде, за зграде на територији општине Инђија.</w:t>
      </w:r>
    </w:p>
    <w:p w:rsidR="007C0746" w:rsidRPr="007C0746" w:rsidRDefault="007C0746" w:rsidP="007C07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46">
        <w:rPr>
          <w:rFonts w:ascii="Times New Roman" w:hAnsi="Times New Roman" w:cs="Times New Roman"/>
          <w:b/>
          <w:sz w:val="24"/>
          <w:szCs w:val="24"/>
        </w:rPr>
        <w:t xml:space="preserve">Члан 2. </w:t>
      </w:r>
    </w:p>
    <w:p w:rsidR="00221FF4" w:rsidRDefault="00221FF4" w:rsidP="00221FF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Минимална висина износа издвајања на име трошкова инвестиционог одржавања заједничких делова зграде, у смислу ове одлуке представља месечни износ издвајања утврђен у апсолутном износу по квадратном метру површине посебног, односно самосталног дела зграде.</w:t>
      </w:r>
    </w:p>
    <w:p w:rsidR="00221FF4" w:rsidRDefault="00221FF4" w:rsidP="00221F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1FF4" w:rsidRPr="00B72FF8" w:rsidRDefault="007C0746" w:rsidP="00221F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</w:t>
      </w:r>
      <w:r w:rsidR="00221FF4" w:rsidRPr="00B72FF8">
        <w:rPr>
          <w:rFonts w:ascii="Times New Roman" w:hAnsi="Times New Roman" w:cs="Times New Roman"/>
          <w:b/>
          <w:sz w:val="24"/>
          <w:szCs w:val="24"/>
        </w:rPr>
        <w:t>.</w:t>
      </w:r>
    </w:p>
    <w:p w:rsidR="00221FF4" w:rsidRDefault="00221FF4" w:rsidP="00221F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Минимална висина износа издвајања на име трошкова инвестиционог одржавања заједничких делова зграде</w:t>
      </w:r>
      <w:r w:rsidR="007C07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који се п</w:t>
      </w:r>
      <w:r w:rsidR="00EF523F">
        <w:rPr>
          <w:rFonts w:ascii="Times New Roman" w:hAnsi="Times New Roman" w:cs="Times New Roman"/>
          <w:sz w:val="24"/>
          <w:szCs w:val="24"/>
        </w:rPr>
        <w:t>лаћа за стан и пословни простор</w:t>
      </w:r>
      <w:r>
        <w:rPr>
          <w:rFonts w:ascii="Times New Roman" w:hAnsi="Times New Roman" w:cs="Times New Roman"/>
          <w:sz w:val="24"/>
          <w:szCs w:val="24"/>
        </w:rPr>
        <w:t xml:space="preserve"> као посебни део зграде,  утврђује се у  месечном износу,  и то: </w:t>
      </w:r>
    </w:p>
    <w:p w:rsidR="00221FF4" w:rsidRPr="00617DF8" w:rsidRDefault="00221FF4" w:rsidP="00221F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64"/>
        <w:gridCol w:w="3260"/>
      </w:tblGrid>
      <w:tr w:rsidR="0051648B" w:rsidTr="0051648B">
        <w:tc>
          <w:tcPr>
            <w:tcW w:w="2660" w:type="dxa"/>
          </w:tcPr>
          <w:p w:rsidR="0051648B" w:rsidRPr="00221FF4" w:rsidRDefault="0051648B" w:rsidP="00516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старост зграде </w:t>
            </w:r>
          </w:p>
        </w:tc>
        <w:tc>
          <w:tcPr>
            <w:tcW w:w="2864" w:type="dxa"/>
          </w:tcPr>
          <w:p w:rsidR="0051648B" w:rsidRPr="00221FF4" w:rsidRDefault="0051648B" w:rsidP="00516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зграда без лифта </w:t>
            </w:r>
          </w:p>
        </w:tc>
        <w:tc>
          <w:tcPr>
            <w:tcW w:w="3260" w:type="dxa"/>
          </w:tcPr>
          <w:p w:rsidR="0051648B" w:rsidRPr="0051648B" w:rsidRDefault="0051648B" w:rsidP="00516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зграда са лифтом </w:t>
            </w:r>
          </w:p>
        </w:tc>
      </w:tr>
      <w:tr w:rsidR="0051648B" w:rsidTr="0051648B">
        <w:tc>
          <w:tcPr>
            <w:tcW w:w="2660" w:type="dxa"/>
          </w:tcPr>
          <w:p w:rsidR="0051648B" w:rsidRPr="00221FF4" w:rsidRDefault="0051648B" w:rsidP="0051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 xml:space="preserve">до 10 година </w:t>
            </w:r>
          </w:p>
        </w:tc>
        <w:tc>
          <w:tcPr>
            <w:tcW w:w="2864" w:type="dxa"/>
          </w:tcPr>
          <w:p w:rsidR="0051648B" w:rsidRPr="00221FF4" w:rsidRDefault="0051648B" w:rsidP="0051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2,15 дин/м2</w:t>
            </w:r>
          </w:p>
        </w:tc>
        <w:tc>
          <w:tcPr>
            <w:tcW w:w="3260" w:type="dxa"/>
          </w:tcPr>
          <w:p w:rsidR="0051648B" w:rsidRPr="0051648B" w:rsidRDefault="0051648B" w:rsidP="0051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48B">
              <w:rPr>
                <w:rFonts w:ascii="Times New Roman" w:hAnsi="Times New Roman" w:cs="Times New Roman"/>
                <w:sz w:val="24"/>
                <w:szCs w:val="24"/>
              </w:rPr>
              <w:t>2,80 дин/м2</w:t>
            </w:r>
          </w:p>
        </w:tc>
      </w:tr>
      <w:tr w:rsidR="0051648B" w:rsidTr="0051648B">
        <w:tc>
          <w:tcPr>
            <w:tcW w:w="2660" w:type="dxa"/>
          </w:tcPr>
          <w:p w:rsidR="0051648B" w:rsidRPr="00221FF4" w:rsidRDefault="0051648B" w:rsidP="0051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 xml:space="preserve">од 10 до 20 година </w:t>
            </w:r>
          </w:p>
        </w:tc>
        <w:tc>
          <w:tcPr>
            <w:tcW w:w="2864" w:type="dxa"/>
          </w:tcPr>
          <w:p w:rsidR="0051648B" w:rsidRPr="00221FF4" w:rsidRDefault="0051648B" w:rsidP="0051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3,23 дин/м2</w:t>
            </w:r>
          </w:p>
        </w:tc>
        <w:tc>
          <w:tcPr>
            <w:tcW w:w="3260" w:type="dxa"/>
          </w:tcPr>
          <w:p w:rsidR="0051648B" w:rsidRPr="0051648B" w:rsidRDefault="0051648B" w:rsidP="0051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48B">
              <w:rPr>
                <w:rFonts w:ascii="Times New Roman" w:hAnsi="Times New Roman" w:cs="Times New Roman"/>
                <w:sz w:val="24"/>
                <w:szCs w:val="24"/>
              </w:rPr>
              <w:t>4,20 дин/м2</w:t>
            </w:r>
          </w:p>
        </w:tc>
      </w:tr>
      <w:tr w:rsidR="0051648B" w:rsidTr="0051648B">
        <w:tc>
          <w:tcPr>
            <w:tcW w:w="2660" w:type="dxa"/>
          </w:tcPr>
          <w:p w:rsidR="0051648B" w:rsidRPr="00221FF4" w:rsidRDefault="0051648B" w:rsidP="0051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 xml:space="preserve">од 20 до 30 година </w:t>
            </w:r>
          </w:p>
        </w:tc>
        <w:tc>
          <w:tcPr>
            <w:tcW w:w="2864" w:type="dxa"/>
          </w:tcPr>
          <w:p w:rsidR="0051648B" w:rsidRPr="00221FF4" w:rsidRDefault="0051648B" w:rsidP="0051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4,31 дин/м2</w:t>
            </w:r>
          </w:p>
        </w:tc>
        <w:tc>
          <w:tcPr>
            <w:tcW w:w="3260" w:type="dxa"/>
          </w:tcPr>
          <w:p w:rsidR="0051648B" w:rsidRPr="0051648B" w:rsidRDefault="0051648B" w:rsidP="0051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48B">
              <w:rPr>
                <w:rFonts w:ascii="Times New Roman" w:hAnsi="Times New Roman" w:cs="Times New Roman"/>
                <w:sz w:val="24"/>
                <w:szCs w:val="24"/>
              </w:rPr>
              <w:t>5,60 дин/м2</w:t>
            </w:r>
          </w:p>
        </w:tc>
      </w:tr>
      <w:tr w:rsidR="0051648B" w:rsidTr="0051648B">
        <w:tc>
          <w:tcPr>
            <w:tcW w:w="2660" w:type="dxa"/>
          </w:tcPr>
          <w:p w:rsidR="0051648B" w:rsidRPr="00221FF4" w:rsidRDefault="0051648B" w:rsidP="0051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 xml:space="preserve">од 30 година </w:t>
            </w:r>
          </w:p>
        </w:tc>
        <w:tc>
          <w:tcPr>
            <w:tcW w:w="2864" w:type="dxa"/>
          </w:tcPr>
          <w:p w:rsidR="0051648B" w:rsidRPr="00221FF4" w:rsidRDefault="0051648B" w:rsidP="0051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5,38 дин/м2</w:t>
            </w:r>
          </w:p>
        </w:tc>
        <w:tc>
          <w:tcPr>
            <w:tcW w:w="3260" w:type="dxa"/>
          </w:tcPr>
          <w:p w:rsidR="0051648B" w:rsidRPr="0051648B" w:rsidRDefault="0051648B" w:rsidP="0051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48B">
              <w:rPr>
                <w:rFonts w:ascii="Times New Roman" w:hAnsi="Times New Roman" w:cs="Times New Roman"/>
                <w:sz w:val="24"/>
                <w:szCs w:val="24"/>
              </w:rPr>
              <w:t>7,00 дин/м2</w:t>
            </w:r>
          </w:p>
        </w:tc>
      </w:tr>
    </w:tbl>
    <w:p w:rsidR="00221FF4" w:rsidRDefault="00221FF4" w:rsidP="00221FF4">
      <w:pPr>
        <w:rPr>
          <w:b/>
        </w:rPr>
      </w:pPr>
    </w:p>
    <w:p w:rsidR="00221FF4" w:rsidRPr="00B527B7" w:rsidRDefault="007C0746" w:rsidP="00221F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4</w:t>
      </w:r>
      <w:r w:rsidR="00221FF4" w:rsidRPr="000651C1">
        <w:rPr>
          <w:rFonts w:ascii="Times New Roman" w:hAnsi="Times New Roman" w:cs="Times New Roman"/>
          <w:b/>
          <w:sz w:val="24"/>
          <w:szCs w:val="24"/>
        </w:rPr>
        <w:t>.</w:t>
      </w:r>
    </w:p>
    <w:p w:rsidR="00221FF4" w:rsidRPr="000651C1" w:rsidRDefault="00221FF4" w:rsidP="00221FF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1C1">
        <w:rPr>
          <w:rFonts w:ascii="Times New Roman" w:hAnsi="Times New Roman" w:cs="Times New Roman"/>
          <w:sz w:val="24"/>
          <w:szCs w:val="24"/>
        </w:rPr>
        <w:t>Минимална висина износа издвајања на име трошкова инвестиционог одржавања заједничких делова зграде који се плаћа за гаражу, гаражни бокс и гар</w:t>
      </w:r>
      <w:r w:rsidR="00EF523F">
        <w:rPr>
          <w:rFonts w:ascii="Times New Roman" w:hAnsi="Times New Roman" w:cs="Times New Roman"/>
          <w:sz w:val="24"/>
          <w:szCs w:val="24"/>
        </w:rPr>
        <w:t>ажно место у заједничкој гаражи</w:t>
      </w:r>
      <w:r w:rsidRPr="000651C1">
        <w:rPr>
          <w:rFonts w:ascii="Times New Roman" w:hAnsi="Times New Roman" w:cs="Times New Roman"/>
          <w:sz w:val="24"/>
          <w:szCs w:val="24"/>
        </w:rPr>
        <w:t xml:space="preserve">  као посебни   део зграде,  утврђује се у  месечном износу, и то:  </w:t>
      </w:r>
    </w:p>
    <w:p w:rsidR="00221FF4" w:rsidRPr="000651C1" w:rsidRDefault="00221FF4" w:rsidP="00221F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660"/>
        <w:gridCol w:w="1826"/>
        <w:gridCol w:w="4298"/>
      </w:tblGrid>
      <w:tr w:rsidR="00221FF4" w:rsidRPr="000651C1" w:rsidTr="0023360A">
        <w:tc>
          <w:tcPr>
            <w:tcW w:w="2660" w:type="dxa"/>
          </w:tcPr>
          <w:p w:rsidR="00221FF4" w:rsidRPr="000651C1" w:rsidRDefault="00221FF4" w:rsidP="002336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старост зграде </w:t>
            </w:r>
          </w:p>
        </w:tc>
        <w:tc>
          <w:tcPr>
            <w:tcW w:w="1826" w:type="dxa"/>
          </w:tcPr>
          <w:p w:rsidR="00221FF4" w:rsidRPr="000651C1" w:rsidRDefault="00221FF4" w:rsidP="002336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гаража  </w:t>
            </w:r>
          </w:p>
        </w:tc>
        <w:tc>
          <w:tcPr>
            <w:tcW w:w="4298" w:type="dxa"/>
          </w:tcPr>
          <w:p w:rsidR="00221FF4" w:rsidRPr="000651C1" w:rsidRDefault="00221FF4" w:rsidP="002336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гаражни бокс  и гаражно место у заједничкој гаражи  </w:t>
            </w:r>
          </w:p>
        </w:tc>
      </w:tr>
      <w:tr w:rsidR="00221FF4" w:rsidRPr="000651C1" w:rsidTr="0023360A">
        <w:tc>
          <w:tcPr>
            <w:tcW w:w="2660" w:type="dxa"/>
          </w:tcPr>
          <w:p w:rsidR="00221FF4" w:rsidRPr="000651C1" w:rsidRDefault="00221FF4" w:rsidP="002336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1C1">
              <w:rPr>
                <w:rFonts w:ascii="Times New Roman" w:hAnsi="Times New Roman" w:cs="Times New Roman"/>
                <w:sz w:val="24"/>
                <w:szCs w:val="24"/>
              </w:rPr>
              <w:t xml:space="preserve">до 10 година </w:t>
            </w:r>
          </w:p>
        </w:tc>
        <w:tc>
          <w:tcPr>
            <w:tcW w:w="1826" w:type="dxa"/>
          </w:tcPr>
          <w:p w:rsidR="00221FF4" w:rsidRPr="000651C1" w:rsidRDefault="00221FF4" w:rsidP="002336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1C1">
              <w:rPr>
                <w:rFonts w:ascii="Times New Roman" w:hAnsi="Times New Roman" w:cs="Times New Roman"/>
                <w:sz w:val="24"/>
                <w:szCs w:val="24"/>
              </w:rPr>
              <w:t>1,29 дин/м2</w:t>
            </w:r>
          </w:p>
        </w:tc>
        <w:tc>
          <w:tcPr>
            <w:tcW w:w="4298" w:type="dxa"/>
          </w:tcPr>
          <w:p w:rsidR="00221FF4" w:rsidRPr="000651C1" w:rsidRDefault="00221FF4" w:rsidP="002336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  <w:r w:rsidRPr="000651C1">
              <w:rPr>
                <w:rFonts w:ascii="Times New Roman" w:hAnsi="Times New Roman" w:cs="Times New Roman"/>
                <w:sz w:val="24"/>
                <w:szCs w:val="24"/>
              </w:rPr>
              <w:t xml:space="preserve"> дин/м2</w:t>
            </w:r>
          </w:p>
        </w:tc>
      </w:tr>
      <w:tr w:rsidR="00221FF4" w:rsidRPr="000651C1" w:rsidTr="0023360A">
        <w:tc>
          <w:tcPr>
            <w:tcW w:w="2660" w:type="dxa"/>
          </w:tcPr>
          <w:p w:rsidR="00221FF4" w:rsidRPr="000651C1" w:rsidRDefault="00221FF4" w:rsidP="002336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1C1">
              <w:rPr>
                <w:rFonts w:ascii="Times New Roman" w:hAnsi="Times New Roman" w:cs="Times New Roman"/>
                <w:sz w:val="24"/>
                <w:szCs w:val="24"/>
              </w:rPr>
              <w:t xml:space="preserve">од 10 до 20 година </w:t>
            </w:r>
          </w:p>
        </w:tc>
        <w:tc>
          <w:tcPr>
            <w:tcW w:w="1826" w:type="dxa"/>
          </w:tcPr>
          <w:p w:rsidR="00221FF4" w:rsidRPr="000651C1" w:rsidRDefault="00221FF4" w:rsidP="002336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  <w:r w:rsidRPr="000651C1">
              <w:rPr>
                <w:rFonts w:ascii="Times New Roman" w:hAnsi="Times New Roman" w:cs="Times New Roman"/>
                <w:sz w:val="24"/>
                <w:szCs w:val="24"/>
              </w:rPr>
              <w:t xml:space="preserve"> дин/м2</w:t>
            </w:r>
          </w:p>
        </w:tc>
        <w:tc>
          <w:tcPr>
            <w:tcW w:w="4298" w:type="dxa"/>
          </w:tcPr>
          <w:p w:rsidR="00221FF4" w:rsidRPr="000651C1" w:rsidRDefault="00221FF4" w:rsidP="002336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  <w:r w:rsidRPr="000651C1">
              <w:rPr>
                <w:rFonts w:ascii="Times New Roman" w:hAnsi="Times New Roman" w:cs="Times New Roman"/>
                <w:sz w:val="24"/>
                <w:szCs w:val="24"/>
              </w:rPr>
              <w:t xml:space="preserve"> дин/м2</w:t>
            </w:r>
          </w:p>
        </w:tc>
      </w:tr>
      <w:tr w:rsidR="00221FF4" w:rsidRPr="000651C1" w:rsidTr="0023360A">
        <w:tc>
          <w:tcPr>
            <w:tcW w:w="2660" w:type="dxa"/>
          </w:tcPr>
          <w:p w:rsidR="00221FF4" w:rsidRPr="000651C1" w:rsidRDefault="00221FF4" w:rsidP="002336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1C1">
              <w:rPr>
                <w:rFonts w:ascii="Times New Roman" w:hAnsi="Times New Roman" w:cs="Times New Roman"/>
                <w:sz w:val="24"/>
                <w:szCs w:val="24"/>
              </w:rPr>
              <w:t xml:space="preserve">од 20 до 30 година </w:t>
            </w:r>
          </w:p>
        </w:tc>
        <w:tc>
          <w:tcPr>
            <w:tcW w:w="1826" w:type="dxa"/>
          </w:tcPr>
          <w:p w:rsidR="00221FF4" w:rsidRPr="000651C1" w:rsidRDefault="00221FF4" w:rsidP="002336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  <w:r w:rsidRPr="000651C1">
              <w:rPr>
                <w:rFonts w:ascii="Times New Roman" w:hAnsi="Times New Roman" w:cs="Times New Roman"/>
                <w:sz w:val="24"/>
                <w:szCs w:val="24"/>
              </w:rPr>
              <w:t xml:space="preserve"> дин/м2</w:t>
            </w:r>
          </w:p>
        </w:tc>
        <w:tc>
          <w:tcPr>
            <w:tcW w:w="4298" w:type="dxa"/>
          </w:tcPr>
          <w:p w:rsidR="00221FF4" w:rsidRPr="000651C1" w:rsidRDefault="00221FF4" w:rsidP="002336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  <w:r w:rsidRPr="000651C1">
              <w:rPr>
                <w:rFonts w:ascii="Times New Roman" w:hAnsi="Times New Roman" w:cs="Times New Roman"/>
                <w:sz w:val="24"/>
                <w:szCs w:val="24"/>
              </w:rPr>
              <w:t xml:space="preserve"> дин/м2</w:t>
            </w:r>
          </w:p>
        </w:tc>
      </w:tr>
      <w:tr w:rsidR="00221FF4" w:rsidRPr="000651C1" w:rsidTr="0023360A">
        <w:tc>
          <w:tcPr>
            <w:tcW w:w="2660" w:type="dxa"/>
          </w:tcPr>
          <w:p w:rsidR="00221FF4" w:rsidRPr="000651C1" w:rsidRDefault="00221FF4" w:rsidP="002336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1C1">
              <w:rPr>
                <w:rFonts w:ascii="Times New Roman" w:hAnsi="Times New Roman" w:cs="Times New Roman"/>
                <w:sz w:val="24"/>
                <w:szCs w:val="24"/>
              </w:rPr>
              <w:t xml:space="preserve">од 30 година </w:t>
            </w:r>
          </w:p>
        </w:tc>
        <w:tc>
          <w:tcPr>
            <w:tcW w:w="1826" w:type="dxa"/>
          </w:tcPr>
          <w:p w:rsidR="00221FF4" w:rsidRPr="000651C1" w:rsidRDefault="00221FF4" w:rsidP="002336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  <w:r w:rsidRPr="000651C1">
              <w:rPr>
                <w:rFonts w:ascii="Times New Roman" w:hAnsi="Times New Roman" w:cs="Times New Roman"/>
                <w:sz w:val="24"/>
                <w:szCs w:val="24"/>
              </w:rPr>
              <w:t xml:space="preserve"> дин/м2</w:t>
            </w:r>
          </w:p>
        </w:tc>
        <w:tc>
          <w:tcPr>
            <w:tcW w:w="4298" w:type="dxa"/>
          </w:tcPr>
          <w:p w:rsidR="00221FF4" w:rsidRPr="000651C1" w:rsidRDefault="00221FF4" w:rsidP="002336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  <w:r w:rsidRPr="000651C1">
              <w:rPr>
                <w:rFonts w:ascii="Times New Roman" w:hAnsi="Times New Roman" w:cs="Times New Roman"/>
                <w:sz w:val="24"/>
                <w:szCs w:val="24"/>
              </w:rPr>
              <w:t xml:space="preserve"> дин/м2</w:t>
            </w:r>
          </w:p>
        </w:tc>
      </w:tr>
    </w:tbl>
    <w:p w:rsidR="00221FF4" w:rsidRDefault="00221FF4" w:rsidP="00221F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1FF4" w:rsidRPr="000651C1" w:rsidRDefault="00221FF4" w:rsidP="00221F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1FF4" w:rsidRPr="00823F1F" w:rsidRDefault="00384762" w:rsidP="00221F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3E0457">
        <w:rPr>
          <w:rFonts w:ascii="Times New Roman" w:hAnsi="Times New Roman" w:cs="Times New Roman"/>
          <w:b/>
          <w:sz w:val="24"/>
          <w:szCs w:val="24"/>
        </w:rPr>
        <w:t>5</w:t>
      </w:r>
      <w:r w:rsidR="00221FF4" w:rsidRPr="00B527B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21FF4" w:rsidRDefault="00221FF4" w:rsidP="00221F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Минимална висина износа издвајања на име трошкова инвестиционог одржавања заједничких делова зграде који се плаћа за самостални део зграде утврђује  </w:t>
      </w:r>
      <w:r w:rsidR="00957D99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 xml:space="preserve">у износу који  се плаћа за гараже из члана </w:t>
      </w:r>
      <w:r w:rsidR="007C07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ове одлуке. </w:t>
      </w:r>
    </w:p>
    <w:p w:rsidR="00221FF4" w:rsidRDefault="00221FF4" w:rsidP="00221F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1FF4" w:rsidRPr="00230F9D" w:rsidRDefault="00384762" w:rsidP="00221F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3E0457">
        <w:rPr>
          <w:rFonts w:ascii="Times New Roman" w:hAnsi="Times New Roman" w:cs="Times New Roman"/>
          <w:b/>
          <w:sz w:val="24"/>
          <w:szCs w:val="24"/>
        </w:rPr>
        <w:t>6</w:t>
      </w:r>
      <w:r w:rsidR="00221FF4" w:rsidRPr="00230F9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21FF4" w:rsidRDefault="00221FF4" w:rsidP="00221F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Ова одлука ступа на снагу осмог дана од дана објављивања у „Службеном листу општине Инђија“.</w:t>
      </w:r>
    </w:p>
    <w:p w:rsidR="00221FF4" w:rsidRDefault="00221FF4" w:rsidP="00221F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1FF4" w:rsidRPr="00230F9D" w:rsidRDefault="00221FF4" w:rsidP="00221F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F9D">
        <w:rPr>
          <w:rFonts w:ascii="Times New Roman" w:hAnsi="Times New Roman" w:cs="Times New Roman"/>
          <w:b/>
          <w:sz w:val="24"/>
          <w:szCs w:val="24"/>
        </w:rPr>
        <w:t>СКУПШТИНА ОПШТИНЕ ИНЂИЈА</w:t>
      </w:r>
    </w:p>
    <w:p w:rsidR="00221FF4" w:rsidRPr="00230F9D" w:rsidRDefault="00221FF4" w:rsidP="00221F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FF4" w:rsidRPr="00230F9D" w:rsidRDefault="00221FF4" w:rsidP="00221FF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F9D">
        <w:rPr>
          <w:rFonts w:ascii="Times New Roman" w:hAnsi="Times New Roman" w:cs="Times New Roman"/>
          <w:b/>
          <w:sz w:val="24"/>
          <w:szCs w:val="24"/>
        </w:rPr>
        <w:t>Број:</w:t>
      </w:r>
      <w:r w:rsidR="00EB5EA4">
        <w:rPr>
          <w:rFonts w:ascii="Times New Roman" w:hAnsi="Times New Roman" w:cs="Times New Roman"/>
          <w:b/>
          <w:sz w:val="24"/>
          <w:szCs w:val="24"/>
          <w:lang w:val="sr-Cyrl-RS"/>
        </w:rPr>
        <w:t>38-12</w:t>
      </w:r>
      <w:r w:rsidR="00CC5258">
        <w:rPr>
          <w:rFonts w:ascii="Times New Roman" w:hAnsi="Times New Roman" w:cs="Times New Roman"/>
          <w:b/>
          <w:sz w:val="24"/>
          <w:szCs w:val="24"/>
          <w:lang w:val="sr-Cyrl-RS"/>
        </w:rPr>
        <w:t>/2017-</w:t>
      </w:r>
      <w:r w:rsidR="00CC5258">
        <w:rPr>
          <w:rFonts w:ascii="Times New Roman" w:hAnsi="Times New Roman" w:cs="Times New Roman"/>
          <w:b/>
          <w:sz w:val="24"/>
          <w:szCs w:val="24"/>
        </w:rPr>
        <w:t>I</w:t>
      </w:r>
      <w:r w:rsidRPr="00230F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Председник</w:t>
      </w:r>
      <w:r w:rsidR="00EB5EA4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bookmarkStart w:id="0" w:name="_GoBack"/>
      <w:bookmarkEnd w:id="0"/>
      <w:r w:rsidRPr="00230F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FF4" w:rsidRPr="00AF2A4C" w:rsidRDefault="00221FF4" w:rsidP="00221FF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0F9D">
        <w:rPr>
          <w:rFonts w:ascii="Times New Roman" w:hAnsi="Times New Roman" w:cs="Times New Roman"/>
          <w:b/>
          <w:sz w:val="24"/>
          <w:szCs w:val="24"/>
        </w:rPr>
        <w:t>Датум:</w:t>
      </w:r>
      <w:r w:rsidR="00D005E0">
        <w:rPr>
          <w:rFonts w:ascii="Times New Roman" w:hAnsi="Times New Roman" w:cs="Times New Roman"/>
          <w:b/>
          <w:sz w:val="24"/>
          <w:szCs w:val="24"/>
        </w:rPr>
        <w:t xml:space="preserve"> 29.</w:t>
      </w:r>
      <w:r w:rsidR="00AF2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A4C">
        <w:rPr>
          <w:rFonts w:ascii="Times New Roman" w:hAnsi="Times New Roman" w:cs="Times New Roman"/>
          <w:b/>
          <w:sz w:val="24"/>
          <w:szCs w:val="24"/>
          <w:lang w:val="sr-Cyrl-RS"/>
        </w:rPr>
        <w:t>децембар 2017.године</w:t>
      </w:r>
    </w:p>
    <w:p w:rsidR="00221FF4" w:rsidRPr="00230F9D" w:rsidRDefault="00AF2A4C" w:rsidP="00221FF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Инђија</w:t>
      </w:r>
      <w:r w:rsidR="00221FF4" w:rsidRPr="00230F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B5E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221FF4" w:rsidRPr="00230F9D">
        <w:rPr>
          <w:rFonts w:ascii="Times New Roman" w:hAnsi="Times New Roman" w:cs="Times New Roman"/>
          <w:b/>
          <w:sz w:val="24"/>
          <w:szCs w:val="24"/>
        </w:rPr>
        <w:t xml:space="preserve">   Милан Предојевић </w:t>
      </w:r>
    </w:p>
    <w:p w:rsidR="00221FF4" w:rsidRPr="00230F9D" w:rsidRDefault="00221FF4" w:rsidP="00221F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1FF4" w:rsidRPr="00230F9D" w:rsidRDefault="00221FF4" w:rsidP="00221F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1FF4" w:rsidRPr="000651C1" w:rsidRDefault="00221FF4" w:rsidP="00221F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1FF4" w:rsidRPr="000651C1" w:rsidRDefault="00221FF4" w:rsidP="00221F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1FF4" w:rsidRPr="000651C1" w:rsidRDefault="00221FF4" w:rsidP="00221F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1FF4" w:rsidRPr="000651C1" w:rsidRDefault="00221FF4" w:rsidP="00221F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1FF4" w:rsidRPr="000651C1" w:rsidRDefault="00221FF4" w:rsidP="00221F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1FF4" w:rsidRPr="000651C1" w:rsidRDefault="00221FF4" w:rsidP="00221F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1FF4" w:rsidRDefault="00221FF4" w:rsidP="00221F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1FF4" w:rsidRDefault="00221FF4" w:rsidP="00221F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1FF4" w:rsidRDefault="00221FF4" w:rsidP="00221F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1FF4" w:rsidRDefault="00221FF4" w:rsidP="00221F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1FF4" w:rsidRDefault="00221FF4" w:rsidP="00221F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8F3" w:rsidRDefault="00CF68F3"/>
    <w:p w:rsidR="001C2FEE" w:rsidRDefault="001C2FEE"/>
    <w:p w:rsidR="001C2FEE" w:rsidRDefault="001C2FEE"/>
    <w:p w:rsidR="001C2FEE" w:rsidRDefault="001C2FEE"/>
    <w:p w:rsidR="001C2FEE" w:rsidRDefault="001C2FEE"/>
    <w:p w:rsidR="001C2FEE" w:rsidRDefault="001C2FEE"/>
    <w:p w:rsidR="001C2FEE" w:rsidRDefault="001C2FEE"/>
    <w:p w:rsidR="001C2FEE" w:rsidRDefault="001C2FEE"/>
    <w:p w:rsidR="001C2FEE" w:rsidRDefault="001C2FEE"/>
    <w:p w:rsidR="001C2FEE" w:rsidRDefault="001C2FEE"/>
    <w:p w:rsidR="001C2FEE" w:rsidRDefault="001C2FEE"/>
    <w:p w:rsidR="001C2FEE" w:rsidRDefault="001C2FEE"/>
    <w:p w:rsidR="001C2FEE" w:rsidRDefault="001C2FEE"/>
    <w:p w:rsidR="001C2FEE" w:rsidRPr="00ED1E77" w:rsidRDefault="001C2FEE" w:rsidP="001C2FEE">
      <w:pPr>
        <w:jc w:val="center"/>
        <w:rPr>
          <w:rFonts w:ascii="Times New Roman" w:hAnsi="Times New Roman" w:cs="Times New Roman"/>
          <w:b/>
        </w:rPr>
      </w:pPr>
      <w:r w:rsidRPr="00ED1E77">
        <w:rPr>
          <w:rFonts w:ascii="Times New Roman" w:hAnsi="Times New Roman" w:cs="Times New Roman"/>
          <w:b/>
        </w:rPr>
        <w:lastRenderedPageBreak/>
        <w:t>О б р а з л о ж е њ е</w:t>
      </w:r>
    </w:p>
    <w:p w:rsidR="00ED1E77" w:rsidRDefault="001C2FEE" w:rsidP="00ED1E7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77">
        <w:rPr>
          <w:rFonts w:ascii="Times New Roman" w:hAnsi="Times New Roman" w:cs="Times New Roman"/>
        </w:rPr>
        <w:t>Правни основ за доношење</w:t>
      </w:r>
      <w:r w:rsidR="00ED1E77" w:rsidRPr="00ED1E77">
        <w:rPr>
          <w:rFonts w:ascii="Times New Roman" w:hAnsi="Times New Roman" w:cs="Times New Roman"/>
        </w:rPr>
        <w:t xml:space="preserve"> Одлуке о </w:t>
      </w:r>
      <w:r w:rsidR="00ED1E77" w:rsidRPr="00ED1E77">
        <w:rPr>
          <w:rFonts w:ascii="Times New Roman" w:hAnsi="Times New Roman" w:cs="Times New Roman"/>
          <w:sz w:val="24"/>
          <w:szCs w:val="24"/>
        </w:rPr>
        <w:t xml:space="preserve"> утврђивању минималне висине  износа издвајања на име трошкова инвестиционог одржавања заједничких делова зграде </w:t>
      </w:r>
      <w:r w:rsidR="00ED1E77">
        <w:rPr>
          <w:rFonts w:ascii="Times New Roman" w:hAnsi="Times New Roman" w:cs="Times New Roman"/>
          <w:sz w:val="24"/>
          <w:szCs w:val="24"/>
        </w:rPr>
        <w:t xml:space="preserve">садржан је у члану </w:t>
      </w:r>
      <w:r w:rsidR="00ED1E77" w:rsidRPr="00ED1E77">
        <w:rPr>
          <w:rFonts w:ascii="Times New Roman" w:hAnsi="Times New Roman" w:cs="Times New Roman"/>
          <w:sz w:val="24"/>
          <w:szCs w:val="24"/>
        </w:rPr>
        <w:t>61. став 7. Закона о становању и одржавању стамбених зграда („Службени гласник РС“, број 104/16), члан</w:t>
      </w:r>
      <w:r w:rsidR="00ED1E77">
        <w:rPr>
          <w:rFonts w:ascii="Times New Roman" w:hAnsi="Times New Roman" w:cs="Times New Roman"/>
          <w:sz w:val="24"/>
          <w:szCs w:val="24"/>
        </w:rPr>
        <w:t>у</w:t>
      </w:r>
      <w:r w:rsidR="00ED1E77" w:rsidRPr="00ED1E77">
        <w:rPr>
          <w:rFonts w:ascii="Times New Roman" w:hAnsi="Times New Roman" w:cs="Times New Roman"/>
          <w:sz w:val="24"/>
          <w:szCs w:val="24"/>
        </w:rPr>
        <w:t xml:space="preserve"> 1. став 2. Правилника о критеријумима за утврђивање минималног износа који одређује јединица локалне самоуправе за плаћање трошкова инвестиционог одржавања заједничких делова</w:t>
      </w:r>
      <w:r w:rsidR="00EF523F">
        <w:rPr>
          <w:rFonts w:ascii="Times New Roman" w:hAnsi="Times New Roman" w:cs="Times New Roman"/>
          <w:sz w:val="24"/>
          <w:szCs w:val="24"/>
          <w:lang w:val="sr-Cyrl-RS"/>
        </w:rPr>
        <w:t xml:space="preserve"> зграде</w:t>
      </w:r>
      <w:r w:rsidR="00ED1E77" w:rsidRPr="00ED1E77">
        <w:rPr>
          <w:rFonts w:ascii="Times New Roman" w:hAnsi="Times New Roman" w:cs="Times New Roman"/>
          <w:sz w:val="24"/>
          <w:szCs w:val="24"/>
        </w:rPr>
        <w:t xml:space="preserve"> („Службени гласник РС“, број 101/17),  члан</w:t>
      </w:r>
      <w:r w:rsidR="00ED1E77">
        <w:rPr>
          <w:rFonts w:ascii="Times New Roman" w:hAnsi="Times New Roman" w:cs="Times New Roman"/>
          <w:sz w:val="24"/>
          <w:szCs w:val="24"/>
        </w:rPr>
        <w:t>у 20. став 1. тачка 6. и чла</w:t>
      </w:r>
      <w:r w:rsidR="007F268C">
        <w:rPr>
          <w:rFonts w:ascii="Times New Roman" w:hAnsi="Times New Roman" w:cs="Times New Roman"/>
          <w:sz w:val="24"/>
          <w:szCs w:val="24"/>
        </w:rPr>
        <w:t>н</w:t>
      </w:r>
      <w:r w:rsidR="00ED1E77">
        <w:rPr>
          <w:rFonts w:ascii="Times New Roman" w:hAnsi="Times New Roman" w:cs="Times New Roman"/>
          <w:sz w:val="24"/>
          <w:szCs w:val="24"/>
        </w:rPr>
        <w:t>у</w:t>
      </w:r>
      <w:r w:rsidR="00ED1E77" w:rsidRPr="00ED1E77">
        <w:rPr>
          <w:rFonts w:ascii="Times New Roman" w:hAnsi="Times New Roman" w:cs="Times New Roman"/>
          <w:sz w:val="24"/>
          <w:szCs w:val="24"/>
        </w:rPr>
        <w:t xml:space="preserve">  32. став. 1 тачка 6. Закон о локалној самоуправи („Службени гласник РС“, број  129/07, 83/14 – др. закон и 101/16 – др. закон),  члан</w:t>
      </w:r>
      <w:r w:rsidR="00ED1E77">
        <w:rPr>
          <w:rFonts w:ascii="Times New Roman" w:hAnsi="Times New Roman" w:cs="Times New Roman"/>
          <w:sz w:val="24"/>
          <w:szCs w:val="24"/>
        </w:rPr>
        <w:t>у</w:t>
      </w:r>
      <w:r w:rsidR="00ED1E77" w:rsidRPr="00ED1E77">
        <w:rPr>
          <w:rFonts w:ascii="Times New Roman" w:hAnsi="Times New Roman" w:cs="Times New Roman"/>
          <w:sz w:val="24"/>
          <w:szCs w:val="24"/>
        </w:rPr>
        <w:t xml:space="preserve"> 15. став 1. тачка 6. и члан</w:t>
      </w:r>
      <w:r w:rsidR="00ED1E77">
        <w:rPr>
          <w:rFonts w:ascii="Times New Roman" w:hAnsi="Times New Roman" w:cs="Times New Roman"/>
          <w:sz w:val="24"/>
          <w:szCs w:val="24"/>
        </w:rPr>
        <w:t>у</w:t>
      </w:r>
      <w:r w:rsidR="00ED1E77" w:rsidRPr="00ED1E77">
        <w:rPr>
          <w:rFonts w:ascii="Times New Roman" w:hAnsi="Times New Roman" w:cs="Times New Roman"/>
          <w:sz w:val="24"/>
          <w:szCs w:val="24"/>
        </w:rPr>
        <w:t xml:space="preserve"> 37. став 1. тачка 6. Статута општине Инђија – пречишћен текст  („Службени л</w:t>
      </w:r>
      <w:r w:rsidR="00ED1E77">
        <w:rPr>
          <w:rFonts w:ascii="Times New Roman" w:hAnsi="Times New Roman" w:cs="Times New Roman"/>
          <w:sz w:val="24"/>
          <w:szCs w:val="24"/>
        </w:rPr>
        <w:t>ист општине Инђија“, број 9/13).</w:t>
      </w:r>
    </w:p>
    <w:p w:rsidR="001C2FEE" w:rsidRDefault="00ED1E77" w:rsidP="006B3F70"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Чланом 61. став 7</w:t>
      </w:r>
      <w:r w:rsidR="006B3F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Закона о становању и одржавању стамбених зграда </w:t>
      </w:r>
      <w:r w:rsidR="006B3F70">
        <w:rPr>
          <w:rFonts w:ascii="Times New Roman" w:hAnsi="Times New Roman" w:cs="Times New Roman"/>
          <w:sz w:val="24"/>
          <w:szCs w:val="24"/>
        </w:rPr>
        <w:t xml:space="preserve"> регулисано је да, ради остваривања јавног интереса, у складу са чланом 2. Закон,  јединица локалне самоуправе доноси</w:t>
      </w:r>
      <w:r w:rsidR="006B3F70" w:rsidRPr="006B3F70">
        <w:rPr>
          <w:rFonts w:ascii="Times New Roman" w:hAnsi="Times New Roman" w:cs="Times New Roman"/>
        </w:rPr>
        <w:t>, акт о минималној висини износа издвајања на име трошкова инвестиционог одржавања заједничких делова зграде.</w:t>
      </w:r>
    </w:p>
    <w:p w:rsidR="006B3F70" w:rsidRDefault="006B3F70" w:rsidP="006B3F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F70">
        <w:rPr>
          <w:rFonts w:ascii="Times New Roman" w:hAnsi="Times New Roman" w:cs="Times New Roman"/>
          <w:sz w:val="24"/>
          <w:szCs w:val="24"/>
        </w:rPr>
        <w:t>Члан</w:t>
      </w:r>
      <w:r w:rsidR="00447118">
        <w:rPr>
          <w:rFonts w:ascii="Times New Roman" w:hAnsi="Times New Roman" w:cs="Times New Roman"/>
          <w:sz w:val="24"/>
          <w:szCs w:val="24"/>
        </w:rPr>
        <w:t xml:space="preserve">ом </w:t>
      </w:r>
      <w:r w:rsidRPr="006B3F70">
        <w:rPr>
          <w:rFonts w:ascii="Times New Roman" w:hAnsi="Times New Roman" w:cs="Times New Roman"/>
          <w:sz w:val="24"/>
          <w:szCs w:val="24"/>
        </w:rPr>
        <w:t xml:space="preserve"> 1. став 2. Правилника о критеријумима за утврђивање минималног износа који одређује јединица локалне самоуправе за плаћање трошкова инвестиционог одржавања заједничких </w:t>
      </w:r>
      <w:r w:rsidRPr="00283E95">
        <w:rPr>
          <w:rFonts w:ascii="Times New Roman" w:hAnsi="Times New Roman" w:cs="Times New Roman"/>
          <w:sz w:val="24"/>
          <w:szCs w:val="24"/>
        </w:rPr>
        <w:t>делова</w:t>
      </w:r>
      <w:r w:rsidR="00EF523F">
        <w:rPr>
          <w:rFonts w:ascii="Times New Roman" w:hAnsi="Times New Roman" w:cs="Times New Roman"/>
          <w:sz w:val="24"/>
          <w:szCs w:val="24"/>
          <w:lang w:val="sr-Cyrl-RS"/>
        </w:rPr>
        <w:t xml:space="preserve"> зграде </w:t>
      </w:r>
      <w:r w:rsidR="00447118" w:rsidRPr="00283E95">
        <w:rPr>
          <w:rFonts w:ascii="Times New Roman" w:hAnsi="Times New Roman" w:cs="Times New Roman"/>
          <w:color w:val="000000"/>
          <w:sz w:val="24"/>
          <w:szCs w:val="24"/>
        </w:rPr>
        <w:t>прописано је да</w:t>
      </w:r>
      <w:r w:rsidR="00447118">
        <w:rPr>
          <w:rFonts w:ascii="Arial" w:hAnsi="Arial" w:cs="Arial"/>
          <w:color w:val="000000"/>
          <w:sz w:val="20"/>
          <w:szCs w:val="20"/>
        </w:rPr>
        <w:t xml:space="preserve">  н</w:t>
      </w:r>
      <w:r w:rsidR="00447118" w:rsidRPr="00447118">
        <w:rPr>
          <w:rFonts w:ascii="Times New Roman" w:hAnsi="Times New Roman" w:cs="Times New Roman"/>
          <w:sz w:val="24"/>
          <w:szCs w:val="24"/>
        </w:rPr>
        <w:t>адлежни орган јединице локалне самоуправе, у складу са законом којим се уређује становање и одржавање зграда доноси акт којим утврђује минималну висину износа издвајања на име трошкова инвестиционог одржавања заједничких делова зграде.</w:t>
      </w:r>
    </w:p>
    <w:p w:rsidR="00447118" w:rsidRDefault="00447118" w:rsidP="006B3F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Чланом 20. став 1. тачка 6. Закона о локалној самоуправи дефинисана је надлежност општине,   да се  преко својих органа, стара о одржавању стамбених зграда и безбедности њиховог коришћења и утврђује </w:t>
      </w:r>
      <w:r w:rsidR="00B6699C">
        <w:rPr>
          <w:rFonts w:ascii="Times New Roman" w:hAnsi="Times New Roman" w:cs="Times New Roman"/>
          <w:sz w:val="24"/>
          <w:szCs w:val="24"/>
        </w:rPr>
        <w:t xml:space="preserve">висину </w:t>
      </w:r>
      <w:r>
        <w:rPr>
          <w:rFonts w:ascii="Times New Roman" w:hAnsi="Times New Roman" w:cs="Times New Roman"/>
          <w:sz w:val="24"/>
          <w:szCs w:val="24"/>
        </w:rPr>
        <w:t>накнаде за одржавање стамбених зграда, а чланом 32. став 1. тачка 6. наведеног закона регулисано да скупштина општине доноси прописе и друге опште акте.</w:t>
      </w:r>
    </w:p>
    <w:p w:rsidR="00B6699C" w:rsidRDefault="00B6699C" w:rsidP="0025607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15. </w:t>
      </w:r>
      <w:r w:rsidRPr="00B6699C">
        <w:rPr>
          <w:rFonts w:ascii="Times New Roman" w:hAnsi="Times New Roman" w:cs="Times New Roman"/>
          <w:sz w:val="24"/>
          <w:szCs w:val="24"/>
        </w:rPr>
        <w:t xml:space="preserve"> став 1. тачка 6.</w:t>
      </w:r>
      <w:r>
        <w:rPr>
          <w:rFonts w:ascii="Times New Roman" w:hAnsi="Times New Roman" w:cs="Times New Roman"/>
          <w:sz w:val="24"/>
          <w:szCs w:val="24"/>
        </w:rPr>
        <w:t xml:space="preserve">  Статута општине Инђија, дефинише надлежност Општине,  да се преко својих органа </w:t>
      </w:r>
      <w:r w:rsidRPr="00B6699C">
        <w:rPr>
          <w:rFonts w:ascii="Times New Roman" w:hAnsi="Times New Roman" w:cs="Times New Roman"/>
          <w:sz w:val="24"/>
          <w:szCs w:val="24"/>
        </w:rPr>
        <w:t>стара о одржавању стамбених зграда и безбедности њиховог коришћења и утврђује висину накна</w:t>
      </w:r>
      <w:r>
        <w:rPr>
          <w:rFonts w:ascii="Times New Roman" w:hAnsi="Times New Roman" w:cs="Times New Roman"/>
          <w:sz w:val="24"/>
          <w:szCs w:val="24"/>
        </w:rPr>
        <w:t xml:space="preserve">де за одржавање стамбених зграда, а чланом </w:t>
      </w:r>
      <w:r w:rsidRPr="00B6699C">
        <w:rPr>
          <w:rFonts w:ascii="Times New Roman" w:hAnsi="Times New Roman" w:cs="Times New Roman"/>
          <w:sz w:val="24"/>
          <w:szCs w:val="24"/>
        </w:rPr>
        <w:t xml:space="preserve"> и члана 37. став 1. тачка 6. Статута </w:t>
      </w:r>
      <w:r w:rsidR="0014638E">
        <w:rPr>
          <w:rFonts w:ascii="Times New Roman" w:hAnsi="Times New Roman" w:cs="Times New Roman"/>
          <w:sz w:val="24"/>
          <w:szCs w:val="24"/>
        </w:rPr>
        <w:t>регулиш</w:t>
      </w:r>
      <w:r w:rsidR="0025607D">
        <w:rPr>
          <w:rFonts w:ascii="Times New Roman" w:hAnsi="Times New Roman" w:cs="Times New Roman"/>
          <w:sz w:val="24"/>
          <w:szCs w:val="24"/>
        </w:rPr>
        <w:t xml:space="preserve">е да Скупштина општине доноси прописе и друге опште акте. </w:t>
      </w:r>
    </w:p>
    <w:p w:rsidR="00283E95" w:rsidRPr="00A81D2C" w:rsidRDefault="00A81D2C" w:rsidP="006A021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Чланом 3</w:t>
      </w:r>
      <w:r w:rsidR="00CD7243">
        <w:rPr>
          <w:rFonts w:ascii="Times New Roman" w:hAnsi="Times New Roman" w:cs="Times New Roman"/>
          <w:sz w:val="24"/>
          <w:szCs w:val="24"/>
        </w:rPr>
        <w:t>. ста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4228E">
        <w:rPr>
          <w:rFonts w:ascii="Times New Roman" w:hAnsi="Times New Roman" w:cs="Times New Roman"/>
          <w:sz w:val="24"/>
          <w:szCs w:val="24"/>
        </w:rPr>
        <w:t xml:space="preserve"> 2. тачка </w:t>
      </w:r>
      <w:r w:rsidR="00111452">
        <w:rPr>
          <w:rFonts w:ascii="Times New Roman" w:hAnsi="Times New Roman" w:cs="Times New Roman"/>
          <w:sz w:val="24"/>
          <w:szCs w:val="24"/>
        </w:rPr>
        <w:t xml:space="preserve"> 23. </w:t>
      </w:r>
      <w:r w:rsidR="004B7317">
        <w:rPr>
          <w:rFonts w:ascii="Times New Roman" w:hAnsi="Times New Roman" w:cs="Times New Roman"/>
          <w:sz w:val="24"/>
          <w:szCs w:val="24"/>
        </w:rPr>
        <w:t xml:space="preserve">Закона о становању и одржавању стамбених зграда, дефинисано </w:t>
      </w:r>
      <w:r w:rsidR="00111452">
        <w:rPr>
          <w:rFonts w:ascii="Times New Roman" w:hAnsi="Times New Roman" w:cs="Times New Roman"/>
          <w:sz w:val="24"/>
          <w:szCs w:val="24"/>
        </w:rPr>
        <w:t xml:space="preserve">је да </w:t>
      </w:r>
      <w:r w:rsidR="00D4228E">
        <w:rPr>
          <w:rFonts w:ascii="Times New Roman" w:hAnsi="Times New Roman" w:cs="Times New Roman"/>
          <w:sz w:val="24"/>
          <w:szCs w:val="24"/>
        </w:rPr>
        <w:t xml:space="preserve">одржавање зграде </w:t>
      </w:r>
      <w:r w:rsidR="00111452">
        <w:rPr>
          <w:rFonts w:ascii="Times New Roman" w:hAnsi="Times New Roman" w:cs="Times New Roman"/>
          <w:sz w:val="24"/>
          <w:szCs w:val="24"/>
        </w:rPr>
        <w:t xml:space="preserve">представља све </w:t>
      </w:r>
      <w:r w:rsidR="00D4228E">
        <w:rPr>
          <w:rFonts w:ascii="Times New Roman" w:hAnsi="Times New Roman" w:cs="Times New Roman"/>
          <w:sz w:val="24"/>
          <w:szCs w:val="24"/>
        </w:rPr>
        <w:t xml:space="preserve"> активности којима се обезбеђује очување функција и својстава зграде у складу са њеном наменом, а нарочито у циљу редовног коришћења и функционисања зграде, а тачком 26. истог става дефинисано је да је инвестиционо одржавање извођење грађевинско-занатксих, односно других радова у зависности од врсте   објеката у циљу побољшања услова коришћења зграде у току њене експ</w:t>
      </w:r>
      <w:r w:rsidR="00111452">
        <w:rPr>
          <w:rFonts w:ascii="Times New Roman" w:hAnsi="Times New Roman" w:cs="Times New Roman"/>
          <w:sz w:val="24"/>
          <w:szCs w:val="24"/>
        </w:rPr>
        <w:t>лоатације</w:t>
      </w:r>
      <w:r w:rsidR="00D422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E72" w:rsidRDefault="0025607D" w:rsidP="003A742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Напред наведеним Правилником, прописани су критеријуми за утврђивање минималног износа који одређује јединица локалне самоуправе за плаћање трошкова инвестиционог одржавања заједничких делова зграде,  и то су: п</w:t>
      </w:r>
      <w:r w:rsidRPr="0025607D">
        <w:rPr>
          <w:rFonts w:ascii="Times New Roman" w:hAnsi="Times New Roman" w:cs="Times New Roman"/>
          <w:sz w:val="24"/>
          <w:szCs w:val="24"/>
        </w:rPr>
        <w:t>росечна нето зарада у јединици локалне самоуправе за претходну годину, према подацима Републичког завода за статистику;</w:t>
      </w:r>
      <w:r w:rsidR="00C5112F">
        <w:rPr>
          <w:rFonts w:ascii="Times New Roman" w:hAnsi="Times New Roman" w:cs="Times New Roman"/>
          <w:sz w:val="24"/>
          <w:szCs w:val="24"/>
        </w:rPr>
        <w:t xml:space="preserve"> </w:t>
      </w:r>
      <w:r w:rsidRPr="0025607D">
        <w:rPr>
          <w:rFonts w:ascii="Times New Roman" w:hAnsi="Times New Roman" w:cs="Times New Roman"/>
          <w:sz w:val="24"/>
          <w:szCs w:val="24"/>
        </w:rPr>
        <w:t>намена посебног или самосталног дела зграде;</w:t>
      </w:r>
      <w:r w:rsidR="00C5112F">
        <w:rPr>
          <w:rFonts w:ascii="Times New Roman" w:hAnsi="Times New Roman" w:cs="Times New Roman"/>
          <w:sz w:val="24"/>
          <w:szCs w:val="24"/>
        </w:rPr>
        <w:t xml:space="preserve"> </w:t>
      </w:r>
      <w:r w:rsidRPr="0025607D">
        <w:rPr>
          <w:rFonts w:ascii="Times New Roman" w:hAnsi="Times New Roman" w:cs="Times New Roman"/>
          <w:sz w:val="24"/>
          <w:szCs w:val="24"/>
        </w:rPr>
        <w:t>просечна старост зграде;</w:t>
      </w:r>
      <w:r w:rsidR="00C5112F">
        <w:rPr>
          <w:rFonts w:ascii="Times New Roman" w:hAnsi="Times New Roman" w:cs="Times New Roman"/>
          <w:sz w:val="24"/>
          <w:szCs w:val="24"/>
        </w:rPr>
        <w:t xml:space="preserve"> </w:t>
      </w:r>
      <w:r w:rsidRPr="0025607D">
        <w:rPr>
          <w:rFonts w:ascii="Times New Roman" w:hAnsi="Times New Roman" w:cs="Times New Roman"/>
          <w:sz w:val="24"/>
          <w:szCs w:val="24"/>
        </w:rPr>
        <w:t>трошкови инвестиционог одржавања л</w:t>
      </w:r>
      <w:r w:rsidR="00C5112F">
        <w:rPr>
          <w:rFonts w:ascii="Times New Roman" w:hAnsi="Times New Roman" w:cs="Times New Roman"/>
          <w:sz w:val="24"/>
          <w:szCs w:val="24"/>
        </w:rPr>
        <w:t xml:space="preserve">ифта, за зграде које имају лифт, као и коефицијент </w:t>
      </w:r>
      <w:r w:rsidR="00A10EAB">
        <w:rPr>
          <w:rFonts w:ascii="Times New Roman" w:hAnsi="Times New Roman" w:cs="Times New Roman"/>
          <w:sz w:val="24"/>
          <w:szCs w:val="24"/>
          <w:lang w:val="sr-Cyrl-RS"/>
        </w:rPr>
        <w:t xml:space="preserve">јединице локалне самоуправе за утврђивање минималне висине износа издвајања на име трошкова инвестиционог одржавање зграде,   који не може бити нижи од 1,3. </w:t>
      </w:r>
      <w:r w:rsidR="00111452">
        <w:rPr>
          <w:rFonts w:ascii="Times New Roman" w:hAnsi="Times New Roman" w:cs="Times New Roman"/>
          <w:sz w:val="24"/>
          <w:szCs w:val="24"/>
        </w:rPr>
        <w:t xml:space="preserve"> Миниманла висина износа издвајања на име трошкова инвестиционог одржавања заједничких делова зграде представља месечни износ издвајања утврђен у апсолутном износу по кватрадном метру површине посебног, односно самосталног дела зграде. </w:t>
      </w:r>
    </w:p>
    <w:p w:rsidR="00295E72" w:rsidRDefault="003E0457" w:rsidP="00571B5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поступку израде </w:t>
      </w:r>
      <w:r w:rsidR="00061936">
        <w:rPr>
          <w:rFonts w:ascii="Times New Roman" w:hAnsi="Times New Roman" w:cs="Times New Roman"/>
          <w:sz w:val="24"/>
          <w:szCs w:val="24"/>
        </w:rPr>
        <w:t>Одлуке о утврђивању минималне висине износа издвајања на име трошкова инвестиционог одржавања заједничких</w:t>
      </w:r>
      <w:r w:rsidR="00295E72">
        <w:rPr>
          <w:rFonts w:ascii="Times New Roman" w:hAnsi="Times New Roman" w:cs="Times New Roman"/>
          <w:sz w:val="24"/>
          <w:szCs w:val="24"/>
        </w:rPr>
        <w:t xml:space="preserve"> делова зграде, са званичн</w:t>
      </w:r>
      <w:r w:rsidR="00283E95">
        <w:rPr>
          <w:rFonts w:ascii="Times New Roman" w:hAnsi="Times New Roman" w:cs="Times New Roman"/>
          <w:sz w:val="24"/>
          <w:szCs w:val="24"/>
        </w:rPr>
        <w:t>е</w:t>
      </w:r>
      <w:r w:rsidR="00295E72">
        <w:rPr>
          <w:rFonts w:ascii="Times New Roman" w:hAnsi="Times New Roman" w:cs="Times New Roman"/>
          <w:sz w:val="24"/>
          <w:szCs w:val="24"/>
        </w:rPr>
        <w:t xml:space="preserve"> интернет странице Републичког завода за статистику преузет је податак о просечној нето заради у општини Инђија за 2016. годину, који према Извештају износи 41443 динара. </w:t>
      </w:r>
    </w:p>
    <w:p w:rsidR="00C5112F" w:rsidRPr="00C5112F" w:rsidRDefault="00DE33DA" w:rsidP="00DE33D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 наведеном, а полазећи од чињенице да је наведеним Правилником  прописана формула за утврђивање минималне висине износа издвајања на име трошкова инвестиционог одржавања заједничких делова зграде, стављањем </w:t>
      </w:r>
      <w:r w:rsidR="00864A37">
        <w:rPr>
          <w:rFonts w:ascii="Times New Roman" w:hAnsi="Times New Roman" w:cs="Times New Roman"/>
          <w:sz w:val="24"/>
          <w:szCs w:val="24"/>
          <w:lang w:val="sr-Cyrl-RS"/>
        </w:rPr>
        <w:t xml:space="preserve">калкулативних елемената,  одређених у Правилнику,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однос на начин утврђен формулом,  уз примену коефицијента локалне самоуправе у износу од 1,3, утврђени  су појединачни апсолутни износи у висини како је  дефинисано  у члану 3.  и 4. Одлуке.   </w:t>
      </w:r>
    </w:p>
    <w:p w:rsidR="00616911" w:rsidRDefault="004B7317" w:rsidP="00295E7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Скупштина стамбене заједнице, коју чине сви власници посебних делова, доноси одлуку о висини </w:t>
      </w:r>
      <w:r w:rsidR="00616911">
        <w:rPr>
          <w:rFonts w:ascii="Times New Roman" w:hAnsi="Times New Roman" w:cs="Times New Roman"/>
          <w:sz w:val="24"/>
          <w:szCs w:val="24"/>
        </w:rPr>
        <w:t>месечног износа за трошкове инвестиционог одржавања</w:t>
      </w:r>
      <w:r w:rsidR="00EF523F">
        <w:rPr>
          <w:rFonts w:ascii="Times New Roman" w:hAnsi="Times New Roman" w:cs="Times New Roman"/>
          <w:sz w:val="24"/>
          <w:szCs w:val="24"/>
          <w:lang w:val="sr-Cyrl-RS"/>
        </w:rPr>
        <w:t xml:space="preserve"> заједничких делова зграде</w:t>
      </w:r>
      <w:r w:rsidR="00616911">
        <w:rPr>
          <w:rFonts w:ascii="Times New Roman" w:hAnsi="Times New Roman" w:cs="Times New Roman"/>
          <w:sz w:val="24"/>
          <w:szCs w:val="24"/>
        </w:rPr>
        <w:t>, који не може бити нижи од износа прописаног у овој одлуци.</w:t>
      </w:r>
    </w:p>
    <w:p w:rsidR="006D3406" w:rsidRDefault="00616911" w:rsidP="00295E7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Имајући у види напред наведено предлаже се Скупштини општине Инђија да </w:t>
      </w:r>
      <w:r w:rsidR="004B7317">
        <w:rPr>
          <w:rFonts w:ascii="Times New Roman" w:hAnsi="Times New Roman" w:cs="Times New Roman"/>
          <w:sz w:val="24"/>
          <w:szCs w:val="24"/>
        </w:rPr>
        <w:t xml:space="preserve"> </w:t>
      </w:r>
      <w:r w:rsidR="00283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Одлуку о утврђивању минималне висине износа издвајања на име трошкова инвестиционог одржавања заједничких делова зграде усвоји у тексту  како је дат у материјалу.</w:t>
      </w:r>
    </w:p>
    <w:p w:rsidR="00616911" w:rsidRDefault="00616911" w:rsidP="006169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16911" w:rsidRPr="00DE13B8" w:rsidRDefault="00616911" w:rsidP="00616911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13B8">
        <w:rPr>
          <w:rFonts w:ascii="Times New Roman" w:hAnsi="Times New Roman" w:cs="Times New Roman"/>
          <w:b/>
          <w:sz w:val="24"/>
          <w:szCs w:val="24"/>
        </w:rPr>
        <w:t>Одељење за правне и скупштинске послове</w:t>
      </w:r>
    </w:p>
    <w:p w:rsidR="00283E95" w:rsidRPr="00571B5F" w:rsidRDefault="00283E95" w:rsidP="00295E7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607D" w:rsidRDefault="0025607D" w:rsidP="0025607D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25607D" w:rsidRDefault="0025607D" w:rsidP="0025607D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25607D" w:rsidRDefault="0025607D" w:rsidP="0025607D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25607D" w:rsidRDefault="0025607D" w:rsidP="0025607D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447118" w:rsidRDefault="00447118" w:rsidP="006B3F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EF9" w:rsidRDefault="000E7EF9" w:rsidP="006B3F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EF9" w:rsidRDefault="000E7EF9" w:rsidP="006B3F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EF9" w:rsidRDefault="000E7EF9" w:rsidP="006B3F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EF9" w:rsidRDefault="000E7EF9" w:rsidP="006B3F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EF9" w:rsidRDefault="000E7EF9" w:rsidP="006B3F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EF9" w:rsidRDefault="000E7EF9" w:rsidP="006B3F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EF9" w:rsidRDefault="000E7EF9" w:rsidP="006B3F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EF9" w:rsidRDefault="000E7EF9" w:rsidP="006B3F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EF9" w:rsidRDefault="000E7EF9" w:rsidP="006B3F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EF9" w:rsidRDefault="000E7EF9" w:rsidP="006B3F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EF9" w:rsidRDefault="000E7EF9" w:rsidP="006B3F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EF9" w:rsidRDefault="000E7EF9" w:rsidP="006B3F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EF9" w:rsidRDefault="000E7EF9" w:rsidP="006B3F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EF9" w:rsidRDefault="000E7EF9" w:rsidP="006B3F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EF9" w:rsidRDefault="000E7EF9" w:rsidP="006B3F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EF9" w:rsidRDefault="000E7EF9" w:rsidP="006B3F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EF9" w:rsidRDefault="000E7EF9" w:rsidP="006B3F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EF9" w:rsidRDefault="000E7EF9" w:rsidP="006B3F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EF9" w:rsidRDefault="000E7EF9" w:rsidP="006B3F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EF9" w:rsidRDefault="000E7EF9" w:rsidP="006B3F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903" w:rsidRPr="000F7903" w:rsidRDefault="000F7903" w:rsidP="006B3F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EF9" w:rsidRDefault="000E7EF9" w:rsidP="006B3F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EF9" w:rsidRDefault="000E7EF9" w:rsidP="006B3F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1508" w:rsidRDefault="00E51508" w:rsidP="006B3F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1508" w:rsidRPr="005B00E5" w:rsidRDefault="00E51508" w:rsidP="00E51508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B00E5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ПРЕДЛОГ</w:t>
      </w:r>
    </w:p>
    <w:p w:rsidR="00E51508" w:rsidRPr="005B00E5" w:rsidRDefault="00E51508" w:rsidP="00E51508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E51508" w:rsidRPr="005B00E5" w:rsidRDefault="00E51508" w:rsidP="00E51508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E51508" w:rsidRPr="005B00E5" w:rsidRDefault="00E51508" w:rsidP="00E51508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E51508" w:rsidRPr="005B00E5" w:rsidRDefault="00E51508" w:rsidP="00E51508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E51508" w:rsidRPr="005B00E5" w:rsidRDefault="00E51508" w:rsidP="00E51508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E51508" w:rsidRPr="005B00E5" w:rsidRDefault="00E51508" w:rsidP="00E51508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E51508" w:rsidRPr="005B00E5" w:rsidRDefault="00E51508" w:rsidP="00E51508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51508" w:rsidRPr="005B00E5" w:rsidRDefault="00E51508" w:rsidP="00E51508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51508" w:rsidRPr="005B00E5" w:rsidRDefault="00E51508" w:rsidP="00E51508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51508" w:rsidRPr="005B00E5" w:rsidRDefault="00E51508" w:rsidP="00E51508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40C9E" w:rsidRPr="00540C9E" w:rsidRDefault="00540C9E" w:rsidP="00540C9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40C9E">
        <w:rPr>
          <w:rFonts w:ascii="Times New Roman" w:hAnsi="Times New Roman" w:cs="Times New Roman"/>
          <w:b/>
          <w:sz w:val="28"/>
          <w:szCs w:val="28"/>
        </w:rPr>
        <w:t xml:space="preserve">О Д Л У К </w:t>
      </w:r>
      <w:r w:rsidRPr="00540C9E"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</w:p>
    <w:p w:rsidR="00540C9E" w:rsidRPr="00540C9E" w:rsidRDefault="00540C9E" w:rsidP="00540C9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9E">
        <w:rPr>
          <w:rFonts w:ascii="Times New Roman" w:hAnsi="Times New Roman" w:cs="Times New Roman"/>
          <w:b/>
          <w:sz w:val="28"/>
          <w:szCs w:val="28"/>
        </w:rPr>
        <w:t xml:space="preserve">О УТВРЂИВАЊУ МИНИМАЛНЕ ВИСИНЕ  ИЗНОСА </w:t>
      </w:r>
    </w:p>
    <w:p w:rsidR="00540C9E" w:rsidRPr="00540C9E" w:rsidRDefault="00540C9E" w:rsidP="00540C9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9E">
        <w:rPr>
          <w:rFonts w:ascii="Times New Roman" w:hAnsi="Times New Roman" w:cs="Times New Roman"/>
          <w:b/>
          <w:sz w:val="28"/>
          <w:szCs w:val="28"/>
        </w:rPr>
        <w:t>ИЗДВАЈАЊА НА ИМЕ ТРОШКОВА ИНВЕСТИЦИОНОГ</w:t>
      </w:r>
    </w:p>
    <w:p w:rsidR="00540C9E" w:rsidRPr="00540C9E" w:rsidRDefault="00540C9E" w:rsidP="00540C9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9E">
        <w:rPr>
          <w:rFonts w:ascii="Times New Roman" w:hAnsi="Times New Roman" w:cs="Times New Roman"/>
          <w:b/>
          <w:sz w:val="28"/>
          <w:szCs w:val="28"/>
        </w:rPr>
        <w:t xml:space="preserve">ОДРЖАВАЊА ЗАЈЕДНИЧКИХ ДЕЛОВА ЗГРАДЕ </w:t>
      </w:r>
    </w:p>
    <w:p w:rsidR="00E51508" w:rsidRPr="00540C9E" w:rsidRDefault="00E51508" w:rsidP="00E51508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51508" w:rsidRPr="009920DB" w:rsidRDefault="00E51508" w:rsidP="00E51508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51508" w:rsidRPr="005B00E5" w:rsidRDefault="00E51508" w:rsidP="00E51508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51508" w:rsidRPr="005B00E5" w:rsidRDefault="00E51508" w:rsidP="00E51508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51508" w:rsidRPr="005B00E5" w:rsidRDefault="00E51508" w:rsidP="00E51508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51508" w:rsidRPr="005B00E5" w:rsidRDefault="00E51508" w:rsidP="00E51508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51508" w:rsidRPr="005B00E5" w:rsidRDefault="00E51508" w:rsidP="00E51508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51508" w:rsidRPr="005B00E5" w:rsidRDefault="00E51508" w:rsidP="00E51508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B00E5"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</w:t>
      </w:r>
      <w:r w:rsidRPr="005B00E5">
        <w:rPr>
          <w:rFonts w:ascii="Times New Roman" w:hAnsi="Times New Roman" w:cs="Times New Roman"/>
          <w:b/>
        </w:rPr>
        <w:t xml:space="preserve"> </w:t>
      </w:r>
      <w:r w:rsidRPr="005B00E5">
        <w:rPr>
          <w:rFonts w:ascii="Times New Roman" w:hAnsi="Times New Roman" w:cs="Times New Roman"/>
          <w:b/>
          <w:lang w:val="sr-Cyrl-RS"/>
        </w:rPr>
        <w:t>Општинско веће</w:t>
      </w:r>
    </w:p>
    <w:p w:rsidR="00E51508" w:rsidRPr="005B00E5" w:rsidRDefault="00E51508" w:rsidP="00E51508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B00E5"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E51508" w:rsidRPr="005B00E5" w:rsidRDefault="00E51508" w:rsidP="00E51508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B00E5"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 w:rsidRPr="005B00E5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5B00E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E51508" w:rsidRPr="005B00E5" w:rsidRDefault="00E51508" w:rsidP="00E51508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51508" w:rsidRDefault="00E51508" w:rsidP="00E51508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51508" w:rsidRDefault="00E51508" w:rsidP="00E51508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51508" w:rsidRPr="005B00E5" w:rsidRDefault="00E51508" w:rsidP="00E51508">
      <w:pPr>
        <w:tabs>
          <w:tab w:val="left" w:pos="3892"/>
        </w:tabs>
        <w:ind w:left="3540"/>
        <w:rPr>
          <w:rFonts w:ascii="Times New Roman" w:hAnsi="Times New Roman" w:cs="Times New Roman"/>
        </w:rPr>
      </w:pPr>
      <w:r w:rsidRPr="005B00E5">
        <w:rPr>
          <w:rFonts w:ascii="Times New Roman" w:hAnsi="Times New Roman" w:cs="Times New Roman"/>
          <w:b/>
          <w:sz w:val="28"/>
          <w:szCs w:val="28"/>
          <w:lang w:val="sr-Cyrl-RS"/>
        </w:rPr>
        <w:t>Инђија, 2017</w:t>
      </w:r>
      <w:r w:rsidR="00540C9E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</w:p>
    <w:sectPr w:rsidR="00E51508" w:rsidRPr="005B00E5" w:rsidSect="001A7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0449C"/>
    <w:multiLevelType w:val="hybridMultilevel"/>
    <w:tmpl w:val="7C5E8464"/>
    <w:lvl w:ilvl="0" w:tplc="8460D9C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F4"/>
    <w:rsid w:val="00061936"/>
    <w:rsid w:val="000E7EF9"/>
    <w:rsid w:val="000F7903"/>
    <w:rsid w:val="00111452"/>
    <w:rsid w:val="0014638E"/>
    <w:rsid w:val="001A7430"/>
    <w:rsid w:val="001C2FEE"/>
    <w:rsid w:val="00221FF4"/>
    <w:rsid w:val="0025607D"/>
    <w:rsid w:val="00283E95"/>
    <w:rsid w:val="00295E72"/>
    <w:rsid w:val="0034248D"/>
    <w:rsid w:val="003668FE"/>
    <w:rsid w:val="00384762"/>
    <w:rsid w:val="00390C64"/>
    <w:rsid w:val="003A742C"/>
    <w:rsid w:val="003E0457"/>
    <w:rsid w:val="004171C7"/>
    <w:rsid w:val="00447118"/>
    <w:rsid w:val="004B7317"/>
    <w:rsid w:val="004F1C7C"/>
    <w:rsid w:val="0051648B"/>
    <w:rsid w:val="00540C9E"/>
    <w:rsid w:val="00571B5F"/>
    <w:rsid w:val="00616911"/>
    <w:rsid w:val="00617B5F"/>
    <w:rsid w:val="00691AC5"/>
    <w:rsid w:val="006A021D"/>
    <w:rsid w:val="006B3F70"/>
    <w:rsid w:val="006C5178"/>
    <w:rsid w:val="006D3406"/>
    <w:rsid w:val="006E10F5"/>
    <w:rsid w:val="00725171"/>
    <w:rsid w:val="007C0746"/>
    <w:rsid w:val="007F268C"/>
    <w:rsid w:val="00864A37"/>
    <w:rsid w:val="00957D99"/>
    <w:rsid w:val="00A10EAB"/>
    <w:rsid w:val="00A81D2C"/>
    <w:rsid w:val="00AF2A4C"/>
    <w:rsid w:val="00B1502F"/>
    <w:rsid w:val="00B330A3"/>
    <w:rsid w:val="00B412A0"/>
    <w:rsid w:val="00B6699C"/>
    <w:rsid w:val="00C5112F"/>
    <w:rsid w:val="00CC5258"/>
    <w:rsid w:val="00CD7243"/>
    <w:rsid w:val="00CE7BD0"/>
    <w:rsid w:val="00CF68F3"/>
    <w:rsid w:val="00D005E0"/>
    <w:rsid w:val="00D4228E"/>
    <w:rsid w:val="00D71A2C"/>
    <w:rsid w:val="00DE13B8"/>
    <w:rsid w:val="00DE33DA"/>
    <w:rsid w:val="00E51508"/>
    <w:rsid w:val="00E54F72"/>
    <w:rsid w:val="00EB5EA4"/>
    <w:rsid w:val="00ED1E77"/>
    <w:rsid w:val="00EF523F"/>
    <w:rsid w:val="00F87A7A"/>
    <w:rsid w:val="00FC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1F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1F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Rakar</dc:creator>
  <cp:keywords/>
  <dc:description/>
  <cp:lastModifiedBy>Nena Kantar</cp:lastModifiedBy>
  <cp:revision>19</cp:revision>
  <cp:lastPrinted>2017-12-20T07:06:00Z</cp:lastPrinted>
  <dcterms:created xsi:type="dcterms:W3CDTF">2017-12-18T10:11:00Z</dcterms:created>
  <dcterms:modified xsi:type="dcterms:W3CDTF">2017-12-29T07:28:00Z</dcterms:modified>
</cp:coreProperties>
</file>